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1523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15239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130" w:lineRule="exact"/>
        <w:rPr>
          <w:sz w:val="24"/>
          <w:szCs w:val="24"/>
          <w:color w:val="auto"/>
        </w:rPr>
      </w:pPr>
    </w:p>
    <w:p>
      <w:pPr>
        <w:ind w:left="10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3"/>
          <w:szCs w:val="23"/>
          <w:color w:val="auto"/>
          <w:vertAlign w:val="superscript"/>
        </w:rPr>
        <w:t>*</w:t>
      </w:r>
    </w:p>
    <w:p>
      <w:pPr>
        <w:ind w:left="140"/>
        <w:spacing w:after="0"/>
        <w:rPr>
          <w:rFonts w:ascii="Times New Roman" w:cs="Times New Roman" w:eastAsia="Times New Roman" w:hAnsi="Times New Roman"/>
          <w:sz w:val="24"/>
          <w:szCs w:val="24"/>
          <w:u w:val="single" w:color="auto"/>
          <w:color w:val="0000EE"/>
        </w:rPr>
      </w:pPr>
      <w:hyperlink r:id="rId10">
        <w:r>
          <w:rPr>
            <w:rFonts w:ascii="Times New Roman" w:cs="Times New Roman" w:eastAsia="Times New Roman" w:hAnsi="Times New Roman"/>
            <w:sz w:val="24"/>
            <w:szCs w:val="24"/>
            <w:u w:val="single" w:color="auto"/>
            <w:color w:val="0000EE"/>
          </w:rPr>
          <w:t>Peterson Caryn</w:t>
        </w:r>
      </w:hyperlink>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ind w:firstLine="2"/>
        <w:spacing w:after="0" w:line="256" w:lineRule="auto"/>
        <w:tabs>
          <w:tab w:leader="none" w:pos="167" w:val="left"/>
        </w:tabs>
        <w:numPr>
          <w:ilvl w:val="0"/>
          <w:numId w:val="1"/>
        </w:numPr>
        <w:rPr>
          <w:rFonts w:ascii="Arial" w:cs="Arial" w:eastAsia="Arial" w:hAnsi="Arial"/>
          <w:sz w:val="14"/>
          <w:szCs w:val="14"/>
          <w:color w:val="auto"/>
        </w:rPr>
      </w:pPr>
      <w:r>
        <w:rPr>
          <w:rFonts w:ascii="Arial" w:cs="Arial" w:eastAsia="Arial" w:hAnsi="Arial"/>
          <w:sz w:val="14"/>
          <w:szCs w:val="14"/>
          <w:color w:val="auto"/>
        </w:rPr>
        <w:t>Date of Event Requiring Statement (Month/Day/Year)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0000FF"/>
        </w:rPr>
        <w:t>10/29/2026</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Aspen Neuroscience,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ASPE</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rPr>
          <w:sz w:val="20"/>
          <w:szCs w:val="20"/>
          <w:color w:val="auto"/>
        </w:rPr>
      </w:pPr>
      <w:r>
        <w:rPr>
          <w:rFonts w:ascii="Arial" w:cs="Arial" w:eastAsia="Arial" w:hAnsi="Arial"/>
          <w:sz w:val="15"/>
          <w:szCs w:val="15"/>
          <w:color w:val="auto"/>
        </w:rPr>
        <w:t>Foreign Trading Symbol</w:t>
      </w:r>
    </w:p>
    <w:p>
      <w:pPr>
        <w:spacing w:after="0" w:line="263" w:lineRule="exact"/>
        <w:rPr>
          <w:sz w:val="24"/>
          <w:szCs w:val="24"/>
          <w:color w:val="auto"/>
        </w:rPr>
      </w:pPr>
    </w:p>
    <w:p>
      <w:pPr>
        <w:sectPr>
          <w:pgSz w:w="11900" w:h="16838" w:orient="portrait"/>
          <w:cols w:equalWidth="0" w:num="3">
            <w:col w:w="2960" w:space="400"/>
            <w:col w:w="136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10835 ROAD TO THE CURE,</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100</w:t>
      </w:r>
    </w:p>
    <w:p>
      <w:pPr>
        <w:spacing w:after="0" w:line="373" w:lineRule="exact"/>
        <w:rPr>
          <w:sz w:val="24"/>
          <w:szCs w:val="24"/>
          <w:color w:val="auto"/>
        </w:rPr>
      </w:pPr>
    </w:p>
    <w:p>
      <w:pPr>
        <w:ind w:left="100"/>
        <w:spacing w:after="0"/>
        <w:rPr>
          <w:sz w:val="20"/>
          <w:szCs w:val="20"/>
          <w:color w:val="auto"/>
        </w:rPr>
      </w:pPr>
      <w:r>
        <w:rPr>
          <w:rFonts w:ascii="Arial" w:cs="Arial" w:eastAsia="Arial" w:hAnsi="Arial"/>
          <w:sz w:val="15"/>
          <w:szCs w:val="15"/>
          <w:color w:val="auto"/>
        </w:rPr>
        <w:t>(Street)</w:t>
      </w:r>
    </w:p>
    <w:p>
      <w:pPr>
        <w:spacing w:after="0" w:line="37" w:lineRule="exact"/>
        <w:rPr>
          <w:sz w:val="24"/>
          <w:szCs w:val="24"/>
          <w:color w:val="auto"/>
        </w:rPr>
      </w:pPr>
    </w:p>
    <w:p>
      <w:pPr>
        <w:ind w:left="140" w:right="1597"/>
        <w:spacing w:after="0"/>
        <w:rPr>
          <w:sz w:val="20"/>
          <w:szCs w:val="20"/>
          <w:color w:val="auto"/>
        </w:rPr>
      </w:pPr>
      <w:r>
        <w:rPr>
          <w:rFonts w:ascii="Times New Roman" w:cs="Times New Roman" w:eastAsia="Times New Roman" w:hAnsi="Times New Roman"/>
          <w:sz w:val="39"/>
          <w:szCs w:val="39"/>
          <w:color w:val="0000FF"/>
          <w:vertAlign w:val="superscript"/>
        </w:rPr>
        <w:t>SAN</w:t>
      </w:r>
      <w:r>
        <w:rPr>
          <w:rFonts w:ascii="Times New Roman" w:cs="Times New Roman" w:eastAsia="Times New Roman" w:hAnsi="Times New Roman"/>
          <w:sz w:val="20"/>
          <w:szCs w:val="20"/>
          <w:color w:val="0000FF"/>
        </w:rPr>
        <w:t xml:space="preserve"> CA 92121 DIEGO</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3" w:right="300" w:hanging="3"/>
        <w:spacing w:after="0" w:line="239" w:lineRule="auto"/>
        <w:tabs>
          <w:tab w:leader="none" w:pos="170" w:val="left"/>
        </w:tabs>
        <w:numPr>
          <w:ilvl w:val="0"/>
          <w:numId w:val="2"/>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spacing w:after="0" w:line="100" w:lineRule="exact"/>
        <w:rPr>
          <w:sz w:val="24"/>
          <w:szCs w:val="24"/>
          <w:color w:val="auto"/>
        </w:rPr>
      </w:pPr>
    </w:p>
    <w:p>
      <w:pPr>
        <w:ind w:left="-9" w:right="440" w:firstLine="9"/>
        <w:spacing w:after="0" w:line="264"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3"/>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51"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6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06/30/2031</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27,011</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3.96</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06/15/2032</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10,119</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7.71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w w:val="96"/>
              </w:rPr>
              <w:t>11/25/2035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19,226</w:t>
            </w:r>
          </w:p>
        </w:tc>
        <w:tc>
          <w:tcPr>
            <w:tcW w:w="98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5.74</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July 1, 2021. The option is fully vested and exercisable.</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June 16, 2022. The option is fully vested and exercisable.</w:t>
      </w:r>
    </w:p>
    <w:p>
      <w:pPr>
        <w:spacing w:after="0" w:line="52" w:lineRule="exact"/>
        <w:rPr>
          <w:rFonts w:ascii="Times New Roman" w:cs="Times New Roman" w:eastAsia="Times New Roman" w:hAnsi="Times New Roman"/>
          <w:sz w:val="15"/>
          <w:szCs w:val="15"/>
          <w:color w:val="008000"/>
        </w:rPr>
      </w:pPr>
    </w:p>
    <w:p>
      <w:pPr>
        <w:ind w:left="40" w:right="480" w:firstLine="5"/>
        <w:spacing w:after="0" w:line="259" w:lineRule="auto"/>
        <w:tabs>
          <w:tab w:leader="none" w:pos="19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 was granted on November 26, 2025. 1/48th of the option shall vest and become exercisable monthly beginning on December 20, 2025, subject to the Reporting Person's continued service through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By: /s/ Jeffrey L.</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8"/>
              </w:rPr>
              <w:t>Boerneke, as Attorney-in-  10/29/2026</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020" w:type="dxa"/>
            <w:vAlign w:val="bottom"/>
            <w:tcBorders>
              <w:top w:val="single" w:sz="8" w:color="auto"/>
            </w:tcBorders>
            <w:gridSpan w:val="3"/>
          </w:tcPr>
          <w:p>
            <w:pPr>
              <w:spacing w:after="0" w:line="220" w:lineRule="exact"/>
              <w:rPr>
                <w:sz w:val="20"/>
                <w:szCs w:val="20"/>
                <w:color w:val="auto"/>
              </w:rPr>
            </w:pPr>
            <w:r>
              <w:rPr>
                <w:rFonts w:ascii="Times New Roman" w:cs="Times New Roman" w:eastAsia="Times New Roman" w:hAnsi="Times New Roman"/>
                <w:sz w:val="20"/>
                <w:szCs w:val="20"/>
                <w:color w:val="0000FF"/>
              </w:rPr>
              <w:t>Fact</w:t>
            </w:r>
          </w:p>
        </w:tc>
        <w:tc>
          <w:tcPr>
            <w:tcW w:w="16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02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16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02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16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02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56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00" w:lineRule="exact"/>
        <w:rPr>
          <w:sz w:val="20"/>
          <w:szCs w:val="20"/>
          <w:color w:val="auto"/>
        </w:rPr>
      </w:pPr>
    </w:p>
    <w:p>
      <w:pPr>
        <w:spacing w:after="0" w:line="3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hereby makes, constitutes and appoints Jeffrey Boerneke, and with full power of substitution, re-substitution and delegation, the undersigned’s true and lawful attorney in fact (referred to herein as the “Attorney-in-Fact”), with full power to act for the undersigned and in the undersigned’s name, place and stead, in the undersigned’s capacity as an officer, director or stockholder of Aspen Neuroscience, Inc. (the “Company”), to:</w:t>
      </w:r>
    </w:p>
    <w:p>
      <w:pPr>
        <w:spacing w:after="0" w:line="198" w:lineRule="exact"/>
        <w:rPr>
          <w:sz w:val="20"/>
          <w:szCs w:val="20"/>
          <w:color w:val="auto"/>
        </w:rPr>
      </w:pPr>
    </w:p>
    <w:p>
      <w:pPr>
        <w:jc w:val="both"/>
        <w:ind w:firstLine="729"/>
        <w:spacing w:after="0" w:line="248"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spacing w:after="0" w:line="202" w:lineRule="exact"/>
        <w:rPr>
          <w:rFonts w:ascii="Times New Roman" w:cs="Times New Roman" w:eastAsia="Times New Roman" w:hAnsi="Times New Roman"/>
          <w:sz w:val="22"/>
          <w:szCs w:val="22"/>
          <w:color w:val="auto"/>
        </w:rPr>
      </w:pPr>
    </w:p>
    <w:p>
      <w:pPr>
        <w:jc w:val="both"/>
        <w:ind w:firstLine="729"/>
        <w:spacing w:after="0" w:line="249"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spacing w:after="0" w:line="203" w:lineRule="exact"/>
        <w:rPr>
          <w:rFonts w:ascii="Times New Roman" w:cs="Times New Roman" w:eastAsia="Times New Roman" w:hAnsi="Times New Roman"/>
          <w:sz w:val="22"/>
          <w:szCs w:val="22"/>
          <w:color w:val="auto"/>
        </w:rPr>
      </w:pPr>
    </w:p>
    <w:p>
      <w:pPr>
        <w:ind w:right="20" w:firstLine="729"/>
        <w:spacing w:after="0" w:line="273"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Submit and file SEC Filings with the SEC utilizing the EDGAR system or cause them to be submitted and filed by a person appointed under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below;</w:t>
      </w:r>
    </w:p>
    <w:p>
      <w:pPr>
        <w:spacing w:after="0" w:line="174" w:lineRule="exact"/>
        <w:rPr>
          <w:rFonts w:ascii="Times New Roman" w:cs="Times New Roman" w:eastAsia="Times New Roman" w:hAnsi="Times New Roman"/>
          <w:sz w:val="22"/>
          <w:szCs w:val="22"/>
          <w:color w:val="auto"/>
        </w:rPr>
      </w:pPr>
    </w:p>
    <w:p>
      <w:pPr>
        <w:ind w:firstLine="729"/>
        <w:spacing w:after="0" w:line="273"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File, submit or otherwise deliver SEC Filings to any securities exchange on which the Company’s securities may be listed or traded;</w:t>
      </w:r>
    </w:p>
    <w:p>
      <w:pPr>
        <w:spacing w:after="0" w:line="174" w:lineRule="exact"/>
        <w:rPr>
          <w:rFonts w:ascii="Times New Roman" w:cs="Times New Roman" w:eastAsia="Times New Roman" w:hAnsi="Times New Roman"/>
          <w:sz w:val="22"/>
          <w:szCs w:val="22"/>
          <w:color w:val="auto"/>
        </w:rPr>
      </w:pPr>
    </w:p>
    <w:p>
      <w:pPr>
        <w:jc w:val="both"/>
        <w:ind w:firstLine="729"/>
        <w:spacing w:after="0" w:line="248"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spacing w:after="0" w:line="202" w:lineRule="exact"/>
        <w:rPr>
          <w:rFonts w:ascii="Times New Roman" w:cs="Times New Roman" w:eastAsia="Times New Roman" w:hAnsi="Times New Roman"/>
          <w:sz w:val="22"/>
          <w:szCs w:val="22"/>
          <w:color w:val="auto"/>
        </w:rPr>
      </w:pPr>
    </w:p>
    <w:p>
      <w:pPr>
        <w:jc w:val="both"/>
        <w:ind w:firstLine="729"/>
        <w:spacing w:after="0" w:line="257"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spacing w:after="0" w:line="192" w:lineRule="exact"/>
        <w:rPr>
          <w:rFonts w:ascii="Times New Roman" w:cs="Times New Roman" w:eastAsia="Times New Roman" w:hAnsi="Times New Roman"/>
          <w:sz w:val="22"/>
          <w:szCs w:val="22"/>
          <w:color w:val="auto"/>
        </w:rPr>
      </w:pPr>
    </w:p>
    <w:p>
      <w:pPr>
        <w:jc w:val="both"/>
        <w:ind w:firstLine="729"/>
        <w:spacing w:after="0" w:line="252" w:lineRule="auto"/>
        <w:tabs>
          <w:tab w:leader="none" w:pos="992"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1120140</wp:posOffset>
            </wp:positionV>
            <wp:extent cx="6972300" cy="44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2" w:name="page3"/>
    <w:bookmarkEnd w:id="2"/>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acknowledges that:</w:t>
      </w:r>
    </w:p>
    <w:p>
      <w:pPr>
        <w:spacing w:after="0" w:line="242" w:lineRule="exact"/>
        <w:rPr>
          <w:sz w:val="20"/>
          <w:szCs w:val="20"/>
          <w:color w:val="auto"/>
        </w:rPr>
      </w:pPr>
    </w:p>
    <w:p>
      <w:pPr>
        <w:ind w:left="720" w:right="20" w:firstLine="739"/>
        <w:spacing w:after="0" w:line="273"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authorizes, but does not require, the Attorney-in-Fact to act in his or her discretion on information provided to such Attorney-in-Fact without independent verification of such information;</w:t>
      </w:r>
    </w:p>
    <w:p>
      <w:pPr>
        <w:spacing w:after="0" w:line="174" w:lineRule="exact"/>
        <w:rPr>
          <w:rFonts w:ascii="Times New Roman" w:cs="Times New Roman" w:eastAsia="Times New Roman" w:hAnsi="Times New Roman"/>
          <w:sz w:val="22"/>
          <w:szCs w:val="22"/>
          <w:color w:val="auto"/>
        </w:rPr>
      </w:pPr>
    </w:p>
    <w:p>
      <w:pPr>
        <w:jc w:val="both"/>
        <w:ind w:left="720" w:firstLine="739"/>
        <w:spacing w:after="0" w:line="257"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92" w:lineRule="exact"/>
        <w:rPr>
          <w:rFonts w:ascii="Times New Roman" w:cs="Times New Roman" w:eastAsia="Times New Roman" w:hAnsi="Times New Roman"/>
          <w:sz w:val="22"/>
          <w:szCs w:val="22"/>
          <w:color w:val="auto"/>
        </w:rPr>
      </w:pPr>
    </w:p>
    <w:p>
      <w:pPr>
        <w:jc w:val="both"/>
        <w:ind w:left="720" w:firstLine="739"/>
        <w:spacing w:after="0" w:line="252"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98" w:lineRule="exact"/>
        <w:rPr>
          <w:rFonts w:ascii="Times New Roman" w:cs="Times New Roman" w:eastAsia="Times New Roman" w:hAnsi="Times New Roman"/>
          <w:sz w:val="22"/>
          <w:szCs w:val="22"/>
          <w:color w:val="auto"/>
        </w:rPr>
      </w:pPr>
    </w:p>
    <w:p>
      <w:pPr>
        <w:jc w:val="both"/>
        <w:ind w:left="720" w:firstLine="739"/>
        <w:spacing w:after="0" w:line="257" w:lineRule="auto"/>
        <w:tabs>
          <w:tab w:leader="none" w:pos="1974"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9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1456690</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p>
      <w:pPr>
        <w:sectPr>
          <w:pgSz w:w="11900" w:h="16838" w:orient="portrait"/>
          <w:cols w:equalWidth="0" w:num="1">
            <w:col w:w="10940"/>
          </w:cols>
          <w:pgMar w:left="480" w:top="1440" w:right="479" w:bottom="1440" w:gutter="0" w:footer="0" w:header="0"/>
        </w:sectPr>
      </w:pPr>
    </w:p>
    <w:bookmarkStart w:id="3" w:name="page4"/>
    <w:bookmarkEnd w:id="3"/>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WITNESS WHEREOF, the undersigned has executed this Power of Attorney as of October 26,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Caryn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3544570"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544570" cy="952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Caryn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1137920</wp:posOffset>
            </wp:positionV>
            <wp:extent cx="6972300" cy="44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2300" cy="44450"/>
                    </a:xfrm>
                    <a:prstGeom prst="rect">
                      <a:avLst/>
                    </a:prstGeom>
                    <a:noFill/>
                  </pic:spPr>
                </pic:pic>
              </a:graphicData>
            </a:graphic>
          </wp:anchor>
        </w:drawing>
      </w:r>
    </w:p>
    <w:sectPr>
      <w:pgSz w:w="11900" w:h="16838" w:orient="portrait"/>
      <w:cols w:equalWidth="0" w:num="1">
        <w:col w:w="9979"/>
      </w:cols>
      <w:pgMar w:left="4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abstractNum>
  <w:abstractNum w:abstractNumId="1">
    <w:nsid w:val="238E1F29"/>
    <w:multiLevelType w:val="hybridMultilevel"/>
    <w:lvl w:ilvl="0">
      <w:lvlJc w:val="left"/>
      <w:lvlText w:val="%1."/>
      <w:numFmt w:val="decimal"/>
      <w:start w:val="4"/>
    </w:lvl>
  </w:abstractNum>
  <w:abstractNum w:abstractNumId="2">
    <w:nsid w:val="46E87CCD"/>
    <w:multiLevelType w:val="hybridMultilevel"/>
    <w:lvl w:ilvl="0">
      <w:lvlJc w:val="left"/>
      <w:lvlText w:val="%1."/>
      <w:numFmt w:val="decimal"/>
      <w:start w:val="5"/>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0" Type="http://schemas.openxmlformats.org/officeDocument/2006/relationships/hyperlink" Target="http://www.sec.gov/cgi-bin/browse-edgar?action=getcompany&amp;CIK=0001857256" TargetMode="External"/><Relationship Id="rId11" Type="http://schemas.openxmlformats.org/officeDocument/2006/relationships/hyperlink" Target="http://www.sec.gov/cgi-bin/browse-edgar?action=getcompany&amp;CIK=00021240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2026-10-29T18:58:37Z</dcterms:created>
  <dcterms:modified xsi:type="dcterms:W3CDTF">2026-10-29T18:58:37Z</dcterms:modified>
</cp:coreProperties>
</file>