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00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Meeter Dalen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Aspen Neuroscience,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ASPE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3">
            <w:col w:w="2960" w:space="400"/>
            <w:col w:w="1360" w:space="280"/>
            <w:col w:w="5940"/>
          </w:cols>
          <w:pgMar w:left="480" w:top="230" w:right="479" w:bottom="100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10835 ROAD TO THE CURE,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100</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92121 DIEGO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000" w:gutter="0" w:footer="0" w:header="0"/>
          <w:type w:val="continuous"/>
        </w:sectPr>
      </w:pPr>
    </w:p>
    <w:p>
      <w:pPr>
        <w:spacing w:after="0" w:line="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03/12/2035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5"/>
              </w:rPr>
              <w:t>101,193</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8.7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11/25/2035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8"/>
              </w:rPr>
              <w:t>34,405</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5.74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11/25/2035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8"/>
              </w:rPr>
              <w:t>88,543</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5.74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5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March 13, 2025. 1/4th of the option vested and became exercisable on March 10, 2026, and 1/48th of the option shall vest equally and become exercisable on the same day of each month thereafter, subject to the Reporting Person's continued service through each vesting date.</w:t>
      </w:r>
    </w:p>
    <w:p>
      <w:pPr>
        <w:spacing w:after="0" w:line="17"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November 26, 2025. 1/4th of the option vested and became exercisable on October 1, 2026, and 1/48th of the option shall vest and become exercisable on the same day of each month thereafter, subject to the Reporting Person's continued service through each vesting date.</w:t>
      </w:r>
    </w:p>
    <w:p>
      <w:pPr>
        <w:spacing w:after="0" w:line="17"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November 26, 2025. 1/48th of the option shall vest and become exercisable on monthly anniversary beginning on December 20, 2025, subject to the Reporting Person's continued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By: /s/ Jeffrey L.</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Boerneke, as Attorney-in-  10/29/2026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0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3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Jeffrey L. Boerneke, Leslie A. Brault and Janet Katz,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Aspen Neuroscience, Inc. (the “Company”), to:</w:t>
      </w:r>
    </w:p>
    <w:p>
      <w:pPr>
        <w:spacing w:after="0" w:line="203" w:lineRule="exact"/>
        <w:rPr>
          <w:sz w:val="20"/>
          <w:szCs w:val="20"/>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firstLine="729"/>
        <w:spacing w:after="0" w:line="249"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3" w:lineRule="exact"/>
        <w:rPr>
          <w:rFonts w:ascii="Times New Roman" w:cs="Times New Roman" w:eastAsia="Times New Roman" w:hAnsi="Times New Roman"/>
          <w:sz w:val="22"/>
          <w:szCs w:val="22"/>
          <w:color w:val="auto"/>
        </w:rPr>
      </w:pPr>
    </w:p>
    <w:p>
      <w:pPr>
        <w:ind w:right="20"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Times New Roman" w:cs="Times New Roman" w:eastAsia="Times New Roman" w:hAnsi="Times New Roman"/>
          <w:sz w:val="22"/>
          <w:szCs w:val="22"/>
          <w:color w:val="auto"/>
        </w:rPr>
      </w:pPr>
    </w:p>
    <w:p>
      <w:pPr>
        <w:ind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2" w:lineRule="exact"/>
        <w:rPr>
          <w:rFonts w:ascii="Times New Roman" w:cs="Times New Roman" w:eastAsia="Times New Roman" w:hAnsi="Times New Roman"/>
          <w:sz w:val="22"/>
          <w:szCs w:val="22"/>
          <w:color w:val="auto"/>
        </w:rPr>
      </w:pPr>
    </w:p>
    <w:p>
      <w:pPr>
        <w:jc w:val="both"/>
        <w:ind w:firstLine="729"/>
        <w:spacing w:after="0" w:line="257"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2" w:lineRule="exact"/>
        <w:rPr>
          <w:rFonts w:ascii="Times New Roman" w:cs="Times New Roman" w:eastAsia="Times New Roman" w:hAnsi="Times New Roman"/>
          <w:sz w:val="22"/>
          <w:szCs w:val="22"/>
          <w:color w:val="auto"/>
        </w:rPr>
      </w:pPr>
    </w:p>
    <w:p>
      <w:pPr>
        <w:jc w:val="both"/>
        <w:ind w:firstLine="729"/>
        <w:spacing w:after="0" w:line="252"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1148080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ind w:left="720" w:right="20" w:firstLine="739"/>
        <w:spacing w:after="0" w:line="273"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174"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720" w:firstLine="739"/>
        <w:spacing w:after="0" w:line="252"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1456690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October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Dalen Meeter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1349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34995" cy="95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Dalen Meeter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1137920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59032" TargetMode="External"/><Relationship Id="rId11" Type="http://schemas.openxmlformats.org/officeDocument/2006/relationships/hyperlink" Target="http://www.sec.gov/cgi-bin/browse-edgar?action=getcompany&amp;CIK=00021240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2026-10-29T18:56:22Z</dcterms:created>
  <dcterms:modified xsi:type="dcterms:W3CDTF">2026-10-29T18:56:22Z</dcterms:modified>
</cp:coreProperties>
</file>