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4674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46747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Thompson Peter A.</w:t>
        </w:r>
      </w:hyperlink>
    </w:p>
    <w:p>
      <w:pPr>
        <w:spacing w:after="0" w:line="343"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10/29/2026</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Aspen Neuroscience,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ASPE</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rPr>
          <w:sz w:val="20"/>
          <w:szCs w:val="20"/>
          <w:color w:val="auto"/>
        </w:rPr>
      </w:pPr>
      <w:r>
        <w:rPr>
          <w:rFonts w:ascii="Arial" w:cs="Arial" w:eastAsia="Arial" w:hAnsi="Arial"/>
          <w:sz w:val="15"/>
          <w:szCs w:val="15"/>
          <w:color w:val="auto"/>
        </w:rPr>
        <w:t>Foreign Trading Symbol</w:t>
      </w:r>
    </w:p>
    <w:p>
      <w:pPr>
        <w:spacing w:after="0" w:line="461" w:lineRule="exact"/>
        <w:rPr>
          <w:sz w:val="24"/>
          <w:szCs w:val="24"/>
          <w:color w:val="auto"/>
        </w:rPr>
      </w:pPr>
    </w:p>
    <w:p>
      <w:pPr>
        <w:sectPr>
          <w:pgSz w:w="11900" w:h="16838" w:orient="portrait"/>
          <w:cols w:equalWidth="0" w:num="3">
            <w:col w:w="2960" w:space="400"/>
            <w:col w:w="1360" w:space="280"/>
            <w:col w:w="5940"/>
          </w:cols>
          <w:pgMar w:left="480" w:top="230" w:right="479" w:bottom="0" w:gutter="0" w:footer="0" w:header="0"/>
          <w:type w:val="continuous"/>
        </w:sectPr>
      </w:pPr>
    </w:p>
    <w:p>
      <w:pPr>
        <w:spacing w:after="0" w:line="5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C/O ASPEN NEUROSCIENCE, INC.</w:t>
      </w:r>
    </w:p>
    <w:p>
      <w:pPr>
        <w:spacing w:after="0" w:line="9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10835 ROAD TO THE CURE,</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SUITE 100</w:t>
      </w:r>
    </w:p>
    <w:p>
      <w:pPr>
        <w:spacing w:after="0" w:line="313"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right="1597"/>
        <w:spacing w:after="0"/>
        <w:rPr>
          <w:sz w:val="20"/>
          <w:szCs w:val="20"/>
          <w:color w:val="auto"/>
        </w:rPr>
      </w:pPr>
      <w:r>
        <w:rPr>
          <w:rFonts w:ascii="Times New Roman" w:cs="Times New Roman" w:eastAsia="Times New Roman" w:hAnsi="Times New Roman"/>
          <w:sz w:val="39"/>
          <w:szCs w:val="39"/>
          <w:color w:val="0000FF"/>
          <w:vertAlign w:val="superscript"/>
        </w:rPr>
        <w:t>SAN</w:t>
      </w:r>
      <w:r>
        <w:rPr>
          <w:rFonts w:ascii="Times New Roman" w:cs="Times New Roman" w:eastAsia="Times New Roman" w:hAnsi="Times New Roman"/>
          <w:sz w:val="20"/>
          <w:szCs w:val="20"/>
          <w:color w:val="0000FF"/>
        </w:rPr>
        <w:t xml:space="preserve"> CA 92121 DIEGO</w:t>
      </w:r>
    </w:p>
    <w:p>
      <w:pPr>
        <w:spacing w:after="0" w:line="20" w:lineRule="exact"/>
        <w:rPr>
          <w:sz w:val="24"/>
          <w:szCs w:val="24"/>
          <w:color w:val="auto"/>
        </w:rPr>
      </w:pPr>
      <w:r>
        <w:rPr>
          <w:sz w:val="24"/>
          <w:szCs w:val="24"/>
          <w:color w:val="auto"/>
        </w:rPr>
        <w:br w:type="column"/>
      </w:r>
    </w:p>
    <w:p>
      <w:pPr>
        <w:ind w:left="3" w:right="300" w:hanging="3"/>
        <w:spacing w:after="0" w:line="237"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4"/>
          <w:szCs w:val="24"/>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2"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1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4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0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90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0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0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0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0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30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Series Seed-2 Convertible Preferred</w:t>
            </w:r>
          </w:p>
        </w:tc>
        <w:tc>
          <w:tcPr>
            <w:tcW w:w="980" w:type="dxa"/>
            <w:vAlign w:val="bottom"/>
            <w:vMerge w:val="restart"/>
          </w:tcPr>
          <w:p>
            <w:pPr>
              <w:jc w:val="right"/>
              <w:ind w:right="351"/>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1700" w:type="dxa"/>
            <w:vAlign w:val="bottom"/>
            <w:vMerge w:val="restart"/>
          </w:tcPr>
          <w:p>
            <w:pPr>
              <w:ind w:left="30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0000FF"/>
              </w:rPr>
              <w:t>196,541</w:t>
            </w:r>
          </w:p>
        </w:tc>
        <w:tc>
          <w:tcPr>
            <w:tcW w:w="100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008000"/>
              </w:rPr>
              <w:t>(1)</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See Footnote 2.</w:t>
            </w:r>
          </w:p>
        </w:tc>
        <w:tc>
          <w:tcPr>
            <w:tcW w:w="0" w:type="dxa"/>
            <w:vAlign w:val="bottom"/>
          </w:tcPr>
          <w:p>
            <w:pPr>
              <w:spacing w:after="0"/>
              <w:rPr>
                <w:sz w:val="1"/>
                <w:szCs w:val="1"/>
                <w:color w:val="auto"/>
              </w:rPr>
            </w:pPr>
          </w:p>
        </w:tc>
      </w:tr>
      <w:tr>
        <w:trPr>
          <w:trHeight w:val="134"/>
        </w:trPr>
        <w:tc>
          <w:tcPr>
            <w:tcW w:w="30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w:t>
            </w:r>
          </w:p>
        </w:tc>
        <w:tc>
          <w:tcPr>
            <w:tcW w:w="9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70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8000"/>
              </w:rPr>
              <w:t>(2)</w:t>
            </w:r>
          </w:p>
        </w:tc>
        <w:tc>
          <w:tcPr>
            <w:tcW w:w="0" w:type="dxa"/>
            <w:vAlign w:val="bottom"/>
          </w:tcPr>
          <w:p>
            <w:pPr>
              <w:spacing w:after="0"/>
              <w:rPr>
                <w:sz w:val="1"/>
                <w:szCs w:val="1"/>
                <w:color w:val="auto"/>
              </w:rPr>
            </w:pPr>
          </w:p>
        </w:tc>
      </w:tr>
      <w:tr>
        <w:trPr>
          <w:trHeight w:val="120"/>
        </w:trPr>
        <w:tc>
          <w:tcPr>
            <w:tcW w:w="304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Series A-1 Convertible Preferred</w:t>
            </w:r>
          </w:p>
        </w:tc>
        <w:tc>
          <w:tcPr>
            <w:tcW w:w="980" w:type="dxa"/>
            <w:vAlign w:val="bottom"/>
            <w:vMerge w:val="restart"/>
          </w:tcPr>
          <w:p>
            <w:pPr>
              <w:jc w:val="right"/>
              <w:ind w:right="351"/>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1700" w:type="dxa"/>
            <w:vAlign w:val="bottom"/>
            <w:vMerge w:val="restart"/>
          </w:tcPr>
          <w:p>
            <w:pPr>
              <w:ind w:left="30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0000FF"/>
              </w:rPr>
              <w:t>642,745</w:t>
            </w:r>
          </w:p>
        </w:tc>
        <w:tc>
          <w:tcPr>
            <w:tcW w:w="100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008000"/>
              </w:rPr>
              <w:t>(1)</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See Footnote 2.</w:t>
            </w:r>
          </w:p>
        </w:tc>
        <w:tc>
          <w:tcPr>
            <w:tcW w:w="0" w:type="dxa"/>
            <w:vAlign w:val="bottom"/>
          </w:tcPr>
          <w:p>
            <w:pPr>
              <w:spacing w:after="0"/>
              <w:rPr>
                <w:sz w:val="1"/>
                <w:szCs w:val="1"/>
                <w:color w:val="auto"/>
              </w:rPr>
            </w:pPr>
          </w:p>
        </w:tc>
      </w:tr>
      <w:tr>
        <w:trPr>
          <w:trHeight w:val="134"/>
        </w:trPr>
        <w:tc>
          <w:tcPr>
            <w:tcW w:w="30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w:t>
            </w:r>
          </w:p>
        </w:tc>
        <w:tc>
          <w:tcPr>
            <w:tcW w:w="9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70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8000"/>
              </w:rPr>
              <w:t>(2)</w:t>
            </w:r>
          </w:p>
        </w:tc>
        <w:tc>
          <w:tcPr>
            <w:tcW w:w="0" w:type="dxa"/>
            <w:vAlign w:val="bottom"/>
          </w:tcPr>
          <w:p>
            <w:pPr>
              <w:spacing w:after="0"/>
              <w:rPr>
                <w:sz w:val="1"/>
                <w:szCs w:val="1"/>
                <w:color w:val="auto"/>
              </w:rPr>
            </w:pPr>
          </w:p>
        </w:tc>
      </w:tr>
      <w:tr>
        <w:trPr>
          <w:trHeight w:val="120"/>
        </w:trPr>
        <w:tc>
          <w:tcPr>
            <w:tcW w:w="304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Series A-2 Convertible Preferred</w:t>
            </w:r>
          </w:p>
        </w:tc>
        <w:tc>
          <w:tcPr>
            <w:tcW w:w="980" w:type="dxa"/>
            <w:vAlign w:val="bottom"/>
            <w:vMerge w:val="restart"/>
          </w:tcPr>
          <w:p>
            <w:pPr>
              <w:jc w:val="right"/>
              <w:ind w:right="351"/>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1700" w:type="dxa"/>
            <w:vAlign w:val="bottom"/>
            <w:vMerge w:val="restart"/>
          </w:tcPr>
          <w:p>
            <w:pPr>
              <w:ind w:left="30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0000FF"/>
              </w:rPr>
              <w:t>616,984</w:t>
            </w:r>
          </w:p>
        </w:tc>
        <w:tc>
          <w:tcPr>
            <w:tcW w:w="100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008000"/>
              </w:rPr>
              <w:t>(1)</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See Footnote 2.</w:t>
            </w:r>
          </w:p>
        </w:tc>
        <w:tc>
          <w:tcPr>
            <w:tcW w:w="0" w:type="dxa"/>
            <w:vAlign w:val="bottom"/>
          </w:tcPr>
          <w:p>
            <w:pPr>
              <w:spacing w:after="0"/>
              <w:rPr>
                <w:sz w:val="1"/>
                <w:szCs w:val="1"/>
                <w:color w:val="auto"/>
              </w:rPr>
            </w:pPr>
          </w:p>
        </w:tc>
      </w:tr>
      <w:tr>
        <w:trPr>
          <w:trHeight w:val="134"/>
        </w:trPr>
        <w:tc>
          <w:tcPr>
            <w:tcW w:w="30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w:t>
            </w:r>
          </w:p>
        </w:tc>
        <w:tc>
          <w:tcPr>
            <w:tcW w:w="9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70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8000"/>
              </w:rPr>
              <w:t>(2)</w:t>
            </w:r>
          </w:p>
        </w:tc>
        <w:tc>
          <w:tcPr>
            <w:tcW w:w="0" w:type="dxa"/>
            <w:vAlign w:val="bottom"/>
          </w:tcPr>
          <w:p>
            <w:pPr>
              <w:spacing w:after="0"/>
              <w:rPr>
                <w:sz w:val="1"/>
                <w:szCs w:val="1"/>
                <w:color w:val="auto"/>
              </w:rPr>
            </w:pPr>
          </w:p>
        </w:tc>
      </w:tr>
      <w:tr>
        <w:trPr>
          <w:trHeight w:val="120"/>
        </w:trPr>
        <w:tc>
          <w:tcPr>
            <w:tcW w:w="304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0"/>
        </w:trPr>
        <w:tc>
          <w:tcPr>
            <w:tcW w:w="30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w w:val="99"/>
              </w:rPr>
              <w:t>Series B Convertible Preferred Stock</w:t>
            </w:r>
          </w:p>
        </w:tc>
        <w:tc>
          <w:tcPr>
            <w:tcW w:w="980" w:type="dxa"/>
            <w:vAlign w:val="bottom"/>
            <w:vMerge w:val="restart"/>
          </w:tcPr>
          <w:p>
            <w:pPr>
              <w:jc w:val="right"/>
              <w:ind w:right="351"/>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1700" w:type="dxa"/>
            <w:vAlign w:val="bottom"/>
            <w:vMerge w:val="restart"/>
          </w:tcPr>
          <w:p>
            <w:pPr>
              <w:ind w:left="30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0000FF"/>
              </w:rPr>
              <w:t>625,743</w:t>
            </w:r>
          </w:p>
        </w:tc>
        <w:tc>
          <w:tcPr>
            <w:tcW w:w="100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008000"/>
              </w:rPr>
              <w:t>(1)</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See Footnote 2.</w:t>
            </w:r>
          </w:p>
        </w:tc>
        <w:tc>
          <w:tcPr>
            <w:tcW w:w="0" w:type="dxa"/>
            <w:vAlign w:val="bottom"/>
          </w:tcPr>
          <w:p>
            <w:pPr>
              <w:spacing w:after="0"/>
              <w:rPr>
                <w:sz w:val="1"/>
                <w:szCs w:val="1"/>
                <w:color w:val="auto"/>
              </w:rPr>
            </w:pPr>
          </w:p>
        </w:tc>
      </w:tr>
      <w:tr>
        <w:trPr>
          <w:trHeight w:val="93"/>
        </w:trPr>
        <w:tc>
          <w:tcPr>
            <w:tcW w:w="304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70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14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8000"/>
              </w:rPr>
              <w:t>(2)</w:t>
            </w:r>
          </w:p>
        </w:tc>
        <w:tc>
          <w:tcPr>
            <w:tcW w:w="0" w:type="dxa"/>
            <w:vAlign w:val="bottom"/>
          </w:tcPr>
          <w:p>
            <w:pPr>
              <w:spacing w:after="0"/>
              <w:rPr>
                <w:sz w:val="1"/>
                <w:szCs w:val="1"/>
                <w:color w:val="auto"/>
              </w:rPr>
            </w:pPr>
          </w:p>
        </w:tc>
      </w:tr>
      <w:tr>
        <w:trPr>
          <w:trHeight w:val="70"/>
        </w:trPr>
        <w:tc>
          <w:tcPr>
            <w:tcW w:w="3040" w:type="dxa"/>
            <w:vAlign w:val="bottom"/>
          </w:tcPr>
          <w:p>
            <w:pPr>
              <w:spacing w:after="0"/>
              <w:rPr>
                <w:sz w:val="6"/>
                <w:szCs w:val="6"/>
                <w:color w:val="auto"/>
              </w:rPr>
            </w:pPr>
          </w:p>
        </w:tc>
        <w:tc>
          <w:tcPr>
            <w:tcW w:w="9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304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170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146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80"/>
        </w:trPr>
        <w:tc>
          <w:tcPr>
            <w:tcW w:w="30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w w:val="99"/>
              </w:rPr>
              <w:t>Series C Convertible Preferred Stock</w:t>
            </w:r>
          </w:p>
        </w:tc>
        <w:tc>
          <w:tcPr>
            <w:tcW w:w="980" w:type="dxa"/>
            <w:vAlign w:val="bottom"/>
            <w:vMerge w:val="restart"/>
          </w:tcPr>
          <w:p>
            <w:pPr>
              <w:jc w:val="right"/>
              <w:ind w:right="351"/>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1700" w:type="dxa"/>
            <w:vAlign w:val="bottom"/>
            <w:vMerge w:val="restart"/>
          </w:tcPr>
          <w:p>
            <w:pPr>
              <w:ind w:left="30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0000FF"/>
              </w:rPr>
              <w:t>507,119</w:t>
            </w:r>
          </w:p>
        </w:tc>
        <w:tc>
          <w:tcPr>
            <w:tcW w:w="100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008000"/>
              </w:rPr>
              <w:t>(1)</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See Footnote 2.</w:t>
            </w:r>
          </w:p>
        </w:tc>
        <w:tc>
          <w:tcPr>
            <w:tcW w:w="0" w:type="dxa"/>
            <w:vAlign w:val="bottom"/>
          </w:tcPr>
          <w:p>
            <w:pPr>
              <w:spacing w:after="0"/>
              <w:rPr>
                <w:sz w:val="1"/>
                <w:szCs w:val="1"/>
                <w:color w:val="auto"/>
              </w:rPr>
            </w:pPr>
          </w:p>
        </w:tc>
      </w:tr>
      <w:tr>
        <w:trPr>
          <w:trHeight w:val="93"/>
        </w:trPr>
        <w:tc>
          <w:tcPr>
            <w:tcW w:w="304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70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14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8000"/>
              </w:rPr>
              <w:t>(2)</w:t>
            </w:r>
          </w:p>
        </w:tc>
        <w:tc>
          <w:tcPr>
            <w:tcW w:w="0" w:type="dxa"/>
            <w:vAlign w:val="bottom"/>
          </w:tcPr>
          <w:p>
            <w:pPr>
              <w:spacing w:after="0"/>
              <w:rPr>
                <w:sz w:val="1"/>
                <w:szCs w:val="1"/>
                <w:color w:val="auto"/>
              </w:rPr>
            </w:pPr>
          </w:p>
        </w:tc>
      </w:tr>
      <w:tr>
        <w:trPr>
          <w:trHeight w:val="70"/>
        </w:trPr>
        <w:tc>
          <w:tcPr>
            <w:tcW w:w="3040" w:type="dxa"/>
            <w:vAlign w:val="bottom"/>
          </w:tcPr>
          <w:p>
            <w:pPr>
              <w:spacing w:after="0"/>
              <w:rPr>
                <w:sz w:val="6"/>
                <w:szCs w:val="6"/>
                <w:color w:val="auto"/>
              </w:rPr>
            </w:pPr>
          </w:p>
        </w:tc>
        <w:tc>
          <w:tcPr>
            <w:tcW w:w="9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4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120" w:firstLine="5"/>
        <w:spacing w:after="0" w:line="237"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Pursuant to the Issuer's Amended and Restated Certificate of Incorporation, as amended, each share of Series Seed-2 Convertible Preferred Stock, Series A-1 Convertible Preferred Stock, Series A-2 Convertible Preferred Stock, Series B Convertible Preferred Stock, and Series C Convertible Preferred Stock (collectively, the "Preferred Stock") may be converted, at the option of the holder, at any time. In connection with the completion of the Issuer's initial public offering of its Common Stock, each share of Preferred Stock will automatically convert on a 1-for-9.8821 basis into shares of Common Stock, for no additional consideration. Share numbers give effect to such conversion. The securities have no expiration date.</w:t>
      </w:r>
    </w:p>
    <w:p>
      <w:pPr>
        <w:spacing w:after="0" w:line="33" w:lineRule="exact"/>
        <w:rPr>
          <w:rFonts w:ascii="Times New Roman" w:cs="Times New Roman" w:eastAsia="Times New Roman" w:hAnsi="Times New Roman"/>
          <w:sz w:val="15"/>
          <w:szCs w:val="15"/>
          <w:color w:val="008000"/>
        </w:rPr>
      </w:pPr>
    </w:p>
    <w:p>
      <w:pPr>
        <w:ind w:left="40" w:right="60" w:firstLine="5"/>
        <w:spacing w:after="0" w:line="237"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securities are held by OrbiMed Private Investments VII, LP ("OPI VII"). OrbiMed Capital GP VII LLC ("OrbiMed GP") is the general partner of OPI VII. OrbiMed Advisors LLC ("OrbiMed Advisors") is the managing member of OrbiMed GP. By virtue of such relationships, OrbiMed GP and OrbiMed Advisors may be deemed to have voting and investment power with respect to the shares held by OPI VII. OrbiMed Advisors exercises investment and voting power through a management committee comprised of Carl L. Gordon, W. Carter Neild, and Geoffrey C. Hsu. Each of the Reporting Persons OrbiMed GP, OrbiMed Advisors, Dr. Gordon, Mr. Neild and Mr. Hsu disclaim beneficial ownership of the shares held by OPI VII, except to the extent of its or his pecuniary interest therein if any.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82"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By: /s/ Jeffrey 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-11430</wp:posOffset>
            </wp:positionV>
            <wp:extent cx="83693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836930" cy="9525"/>
                    </a:xfrm>
                    <a:prstGeom prst="rect">
                      <a:avLst/>
                    </a:prstGeom>
                    <a:noFill/>
                  </pic:spPr>
                </pic:pic>
              </a:graphicData>
            </a:graphic>
          </wp:anchor>
        </w:drawing>
      </w:r>
    </w:p>
    <w:p>
      <w:pPr>
        <w:spacing w:after="0" w:line="4" w:lineRule="exact"/>
        <w:rPr>
          <w:sz w:val="24"/>
          <w:szCs w:val="24"/>
          <w:color w:val="auto"/>
        </w:rPr>
      </w:pPr>
    </w:p>
    <w:p>
      <w:pPr>
        <w:ind w:left="6580"/>
        <w:spacing w:after="0"/>
        <w:tabs>
          <w:tab w:leader="none" w:pos="8740" w:val="left"/>
        </w:tabs>
        <w:rPr>
          <w:sz w:val="20"/>
          <w:szCs w:val="20"/>
          <w:color w:val="auto"/>
        </w:rPr>
      </w:pPr>
      <w:r>
        <w:rPr>
          <w:rFonts w:ascii="Times New Roman" w:cs="Times New Roman" w:eastAsia="Times New Roman" w:hAnsi="Times New Roman"/>
          <w:sz w:val="20"/>
          <w:szCs w:val="20"/>
          <w:color w:val="0000FF"/>
        </w:rPr>
        <w:t>Boerneke, as Attorney-in-</w:t>
      </w:r>
      <w:r>
        <w:rPr>
          <w:sz w:val="20"/>
          <w:szCs w:val="20"/>
          <w:color w:val="auto"/>
        </w:rPr>
        <w:tab/>
      </w:r>
      <w:r>
        <w:rPr>
          <w:rFonts w:ascii="Times New Roman" w:cs="Times New Roman" w:eastAsia="Times New Roman" w:hAnsi="Times New Roman"/>
          <w:sz w:val="18"/>
          <w:szCs w:val="18"/>
          <w:color w:val="0000FF"/>
        </w:rPr>
        <w:t>10/29/2026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21336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13360" cy="952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type w:val="continuous"/>
        </w:sectPr>
      </w:pPr>
    </w:p>
    <w:p>
      <w:pPr>
        <w:spacing w:after="0" w:line="50" w:lineRule="exact"/>
        <w:rPr>
          <w:sz w:val="24"/>
          <w:szCs w:val="24"/>
          <w:color w:val="auto"/>
        </w:rPr>
      </w:pPr>
    </w:p>
    <w:tbl>
      <w:tblPr>
        <w:tblLayout w:type="fixed"/>
        <w:tblInd w:w="6580" w:type="dxa"/>
        <w:tblCellMar>
          <w:top w:w="0" w:type="dxa"/>
          <w:left w:w="0" w:type="dxa"/>
          <w:bottom w:w="0" w:type="dxa"/>
          <w:right w:w="0" w:type="dxa"/>
        </w:tblCellMar>
      </w:tblPr>
      <w:tr>
        <w:trPr>
          <w:trHeight w:val="172"/>
        </w:trPr>
        <w:tc>
          <w:tcPr>
            <w:tcW w:w="1920" w:type="dxa"/>
            <w:vAlign w:val="bottom"/>
          </w:tcPr>
          <w:p>
            <w:pPr>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1920" w:type="dxa"/>
            <w:vAlign w:val="bottom"/>
            <w:vMerge w:val="restart"/>
          </w:tcPr>
          <w:p>
            <w:pPr>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192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480" w:top="230" w:right="479" w:bottom="0" w:gutter="0" w:footer="0" w:header="0"/>
          <w:type w:val="continuous"/>
        </w:sectPr>
      </w:pPr>
    </w:p>
    <w:bookmarkStart w:id="1" w:name="page2"/>
    <w:bookmarkEnd w:id="1"/>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p>
      <w:pPr>
        <w:spacing w:after="0" w:line="53" w:lineRule="exact"/>
        <w:rPr>
          <w:sz w:val="20"/>
          <w:szCs w:val="20"/>
          <w:color w:val="auto"/>
        </w:rPr>
      </w:pPr>
    </w:p>
    <w:p>
      <w:pPr>
        <w:jc w:val="both"/>
        <w:ind w:right="2160" w:firstLine="5"/>
        <w:spacing w:after="0" w:line="335"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25" w:right="559" w:bottom="1440" w:gutter="0" w:footer="0" w:header="0"/>
        </w:sectPr>
      </w:pPr>
    </w:p>
    <w:bookmarkStart w:id="2" w:name="page3"/>
    <w:bookmarkEnd w:id="2"/>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00" w:lineRule="exact"/>
        <w:rPr>
          <w:sz w:val="20"/>
          <w:szCs w:val="20"/>
          <w:color w:val="auto"/>
        </w:rPr>
      </w:pPr>
    </w:p>
    <w:p>
      <w:pPr>
        <w:spacing w:after="0" w:line="3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undersigned hereby makes, constitutes and appoints Jeffrey Boerneke, and with full power of substitution, re-substitution and delegation, the undersigned’s true and lawful attorney in fact (referred to herein as the “Attorney-in-Fact”), with full power to act for the undersigned and in the undersigned’s name, place and stead, in the undersigned’s capacity as an officer, director or stockholder of Aspen Neuroscience, Inc. (the “Company”), to:</w:t>
      </w:r>
    </w:p>
    <w:p>
      <w:pPr>
        <w:spacing w:after="0" w:line="198" w:lineRule="exact"/>
        <w:rPr>
          <w:sz w:val="20"/>
          <w:szCs w:val="20"/>
          <w:color w:val="auto"/>
        </w:rPr>
      </w:pPr>
    </w:p>
    <w:p>
      <w:pPr>
        <w:jc w:val="both"/>
        <w:ind w:firstLine="729"/>
        <w:spacing w:after="0" w:line="248" w:lineRule="auto"/>
        <w:tabs>
          <w:tab w:leader="none" w:pos="99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w:t>
      </w:r>
    </w:p>
    <w:p>
      <w:pPr>
        <w:spacing w:after="0" w:line="202" w:lineRule="exact"/>
        <w:rPr>
          <w:rFonts w:ascii="Times New Roman" w:cs="Times New Roman" w:eastAsia="Times New Roman" w:hAnsi="Times New Roman"/>
          <w:sz w:val="22"/>
          <w:szCs w:val="22"/>
          <w:color w:val="auto"/>
        </w:rPr>
      </w:pPr>
    </w:p>
    <w:p>
      <w:pPr>
        <w:jc w:val="both"/>
        <w:ind w:firstLine="729"/>
        <w:spacing w:after="0" w:line="257" w:lineRule="auto"/>
        <w:tabs>
          <w:tab w:leader="none" w:pos="99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and execute any and all forms (including any amendments thereto) the undersigned is required to file with the SEC under Section 16(a) of the Securities Exchange Act of 1934 (“the “Exchange Act”) or any rule or regulation thereunder, including Forms 3, 4 and 5 (all such forms being referred to herein as “SEC Filings”);</w:t>
      </w:r>
    </w:p>
    <w:p>
      <w:pPr>
        <w:spacing w:after="0" w:line="192" w:lineRule="exact"/>
        <w:rPr>
          <w:rFonts w:ascii="Times New Roman" w:cs="Times New Roman" w:eastAsia="Times New Roman" w:hAnsi="Times New Roman"/>
          <w:sz w:val="22"/>
          <w:szCs w:val="22"/>
          <w:color w:val="auto"/>
        </w:rPr>
      </w:pPr>
    </w:p>
    <w:p>
      <w:pPr>
        <w:ind w:right="20" w:firstLine="729"/>
        <w:spacing w:after="0" w:line="273" w:lineRule="auto"/>
        <w:tabs>
          <w:tab w:leader="none" w:pos="99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Submit and file SEC Filings with the SEC utilizing the EDGAR system or cause them to be submitted and filed by a person appointed under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below;</w:t>
      </w:r>
    </w:p>
    <w:p>
      <w:pPr>
        <w:spacing w:after="0" w:line="174" w:lineRule="exact"/>
        <w:rPr>
          <w:rFonts w:ascii="Times New Roman" w:cs="Times New Roman" w:eastAsia="Times New Roman" w:hAnsi="Times New Roman"/>
          <w:sz w:val="22"/>
          <w:szCs w:val="22"/>
          <w:color w:val="auto"/>
        </w:rPr>
      </w:pPr>
    </w:p>
    <w:p>
      <w:pPr>
        <w:ind w:firstLine="729"/>
        <w:spacing w:after="0" w:line="273" w:lineRule="auto"/>
        <w:tabs>
          <w:tab w:leader="none" w:pos="99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File, submit or otherwise deliver SEC Filings to any securities exchange on which the Company’s securities may be listed or traded;</w:t>
      </w:r>
    </w:p>
    <w:p>
      <w:pPr>
        <w:spacing w:after="0" w:line="174" w:lineRule="exact"/>
        <w:rPr>
          <w:rFonts w:ascii="Times New Roman" w:cs="Times New Roman" w:eastAsia="Times New Roman" w:hAnsi="Times New Roman"/>
          <w:sz w:val="22"/>
          <w:szCs w:val="22"/>
          <w:color w:val="auto"/>
        </w:rPr>
      </w:pPr>
    </w:p>
    <w:p>
      <w:pPr>
        <w:jc w:val="both"/>
        <w:ind w:firstLine="729"/>
        <w:spacing w:after="0" w:line="248" w:lineRule="auto"/>
        <w:tabs>
          <w:tab w:leader="none" w:pos="99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p>
    <w:p>
      <w:pPr>
        <w:spacing w:after="0" w:line="202" w:lineRule="exact"/>
        <w:rPr>
          <w:rFonts w:ascii="Times New Roman" w:cs="Times New Roman" w:eastAsia="Times New Roman" w:hAnsi="Times New Roman"/>
          <w:sz w:val="22"/>
          <w:szCs w:val="22"/>
          <w:color w:val="auto"/>
        </w:rPr>
      </w:pPr>
    </w:p>
    <w:p>
      <w:pPr>
        <w:jc w:val="both"/>
        <w:ind w:firstLine="729"/>
        <w:spacing w:after="0" w:line="257" w:lineRule="auto"/>
        <w:tabs>
          <w:tab w:leader="none" w:pos="99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the Company to accept a delegation of authority from any of the undersigned’s EDGAR account administrators and, pursuant to that delegation, authorize the Company’s EDGAR account administrators to appoint, remove or replace users for the undersigned’s EDGAR account; and</w:t>
      </w:r>
    </w:p>
    <w:p>
      <w:pPr>
        <w:spacing w:after="0" w:line="192" w:lineRule="exact"/>
        <w:rPr>
          <w:rFonts w:ascii="Times New Roman" w:cs="Times New Roman" w:eastAsia="Times New Roman" w:hAnsi="Times New Roman"/>
          <w:sz w:val="22"/>
          <w:szCs w:val="22"/>
          <w:color w:val="auto"/>
        </w:rPr>
      </w:pPr>
    </w:p>
    <w:p>
      <w:pPr>
        <w:jc w:val="both"/>
        <w:ind w:firstLine="729"/>
        <w:spacing w:after="0" w:line="252" w:lineRule="auto"/>
        <w:tabs>
          <w:tab w:leader="none" w:pos="99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undersigned acknowledges that:</w:t>
      </w:r>
    </w:p>
    <w:p>
      <w:pPr>
        <w:spacing w:after="0" w:line="242" w:lineRule="exact"/>
        <w:rPr>
          <w:sz w:val="20"/>
          <w:szCs w:val="20"/>
          <w:color w:val="auto"/>
        </w:rPr>
      </w:pPr>
    </w:p>
    <w:p>
      <w:pPr>
        <w:ind w:left="720" w:right="20" w:firstLine="739"/>
        <w:spacing w:after="0" w:line="273" w:lineRule="auto"/>
        <w:tabs>
          <w:tab w:leader="none" w:pos="1974"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Power of Attorney authorizes, but does not require, the Attorney-in-Fact to act in his or her discretion on information provided to such Attorney-in-Fact without independent verification of such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1104900</wp:posOffset>
            </wp:positionV>
            <wp:extent cx="6972300" cy="44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40"/>
          </w:cols>
          <w:pgMar w:left="480" w:top="1440" w:right="479" w:bottom="1440" w:gutter="0" w:footer="0" w:header="0"/>
        </w:sectPr>
      </w:pPr>
    </w:p>
    <w:bookmarkStart w:id="3" w:name="page4"/>
    <w:bookmarkEnd w:id="3"/>
    <w:p>
      <w:pPr>
        <w:spacing w:after="0" w:line="116" w:lineRule="exact"/>
        <w:rPr>
          <w:sz w:val="20"/>
          <w:szCs w:val="20"/>
          <w:color w:val="auto"/>
        </w:rPr>
      </w:pPr>
    </w:p>
    <w:p>
      <w:pPr>
        <w:jc w:val="both"/>
        <w:ind w:left="720" w:firstLine="739"/>
        <w:spacing w:after="0" w:line="257" w:lineRule="auto"/>
        <w:tabs>
          <w:tab w:leader="none" w:pos="1974"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92" w:lineRule="exact"/>
        <w:rPr>
          <w:rFonts w:ascii="Times New Roman" w:cs="Times New Roman" w:eastAsia="Times New Roman" w:hAnsi="Times New Roman"/>
          <w:sz w:val="22"/>
          <w:szCs w:val="22"/>
          <w:color w:val="auto"/>
        </w:rPr>
      </w:pPr>
    </w:p>
    <w:p>
      <w:pPr>
        <w:jc w:val="both"/>
        <w:ind w:left="720" w:firstLine="739"/>
        <w:spacing w:after="0" w:line="252" w:lineRule="auto"/>
        <w:tabs>
          <w:tab w:leader="none" w:pos="1974"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the Attorney-in-Fact assumes any liability for the undersigned’s responsibility to comply with the requirements of Section 16 of the Exchange Act, any liability of the undersigned for any failure to comply with such requirements, or any liability of the undersigned for disgorgement of profits under Section 16(b) of the Exchange Act; and</w:t>
      </w:r>
    </w:p>
    <w:p>
      <w:pPr>
        <w:spacing w:after="0" w:line="198" w:lineRule="exact"/>
        <w:rPr>
          <w:rFonts w:ascii="Times New Roman" w:cs="Times New Roman" w:eastAsia="Times New Roman" w:hAnsi="Times New Roman"/>
          <w:sz w:val="22"/>
          <w:szCs w:val="22"/>
          <w:color w:val="auto"/>
        </w:rPr>
      </w:pPr>
    </w:p>
    <w:p>
      <w:pPr>
        <w:jc w:val="both"/>
        <w:ind w:left="720" w:firstLine="739"/>
        <w:spacing w:after="0" w:line="257" w:lineRule="auto"/>
        <w:tabs>
          <w:tab w:leader="none" w:pos="1974"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Power of Attorney does not relieve the undersigned from responsibility for compliance with the undersigned’s obligations under Section 16 of the Exchange Act, including, without limitation, the reporting requirements under Section 16 of the Exchange Act.</w:t>
      </w:r>
    </w:p>
    <w:p>
      <w:pPr>
        <w:spacing w:after="0" w:line="19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earlier of (a) the date the undersigned is no longer required to file Forms 3, 4 or 5 with respect to the undersigned’s holdings of and transactions in securities of the Company,</w:t>
      </w:r>
    </w:p>
    <w:p>
      <w:pPr>
        <w:spacing w:after="0" w:line="1" w:lineRule="exact"/>
        <w:rPr>
          <w:sz w:val="20"/>
          <w:szCs w:val="20"/>
          <w:color w:val="auto"/>
        </w:rPr>
      </w:pPr>
    </w:p>
    <w:p>
      <w:pPr>
        <w:jc w:val="both"/>
        <w:spacing w:after="0" w:line="246" w:lineRule="auto"/>
        <w:tabs>
          <w:tab w:leader="none" w:pos="323"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revocation by the undersigned in a signed writing delivered to the Attorney-in-Fact, and (c) as to the Attorney-in-Fact, the date he ceases to be an employee of the Company. This Power of Attorney revokes all previous powers of attorney with respect to the subject matter of this Power of Attorney..</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[Signature Page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1456690</wp:posOffset>
            </wp:positionV>
            <wp:extent cx="6972300" cy="44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40"/>
          </w:cols>
          <w:pgMar w:left="480" w:top="1440" w:right="479" w:bottom="1440" w:gutter="0" w:footer="0" w:header="0"/>
        </w:sectPr>
      </w:pPr>
    </w:p>
    <w:bookmarkStart w:id="4" w:name="page5"/>
    <w:bookmarkEnd w:id="4"/>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WITNESS WHEREOF, the undersigned has executed this Power of Attorney as of October 27, 2026.</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Peter A.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3154045"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54045" cy="952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Peter A.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1137920</wp:posOffset>
            </wp:positionV>
            <wp:extent cx="6972300" cy="44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9979"/>
      </w:cols>
      <w:pgMar w:left="48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2"/>
    </w:lvl>
  </w:abstractNum>
  <w:abstractNum w:abstractNumId="1">
    <w:nsid w:val="3D1B58BA"/>
    <w:multiLevelType w:val="hybridMultilevel"/>
    <w:lvl w:ilvl="0">
      <w:lvlJc w:val="left"/>
      <w:lvlText w:val="%1."/>
      <w:numFmt w:val="decimal"/>
      <w:start w:val="4"/>
    </w:lvl>
  </w:abstractNum>
  <w:abstractNum w:abstractNumId="2">
    <w:nsid w:val="507ED7AB"/>
    <w:multiLevelType w:val="hybridMultilevel"/>
    <w:lvl w:ilvl="0">
      <w:lvlJc w:val="left"/>
      <w:lvlText w:val="%1."/>
      <w:numFmt w:val="decimal"/>
      <w:start w:val="5"/>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2"/>
    </w:lvl>
  </w:abstractNum>
  <w:abstractNum w:abstractNumId="8">
    <w:nsid w:val="5BD062C2"/>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0" Type="http://schemas.openxmlformats.org/officeDocument/2006/relationships/hyperlink" Target="http://www.sec.gov/cgi-bin/browse-edgar?action=getcompany&amp;CIK=0001357522" TargetMode="External"/><Relationship Id="rId11" Type="http://schemas.openxmlformats.org/officeDocument/2006/relationships/hyperlink" Target="http://www.sec.gov/cgi-bin/browse-edgar?action=getcompany&amp;CIK=00021240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2026-10-29T19:06:01Z</dcterms:created>
  <dcterms:modified xsi:type="dcterms:W3CDTF">2026-10-29T19:06:01Z</dcterms:modified>
</cp:coreProperties>
</file>